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7671" w14:textId="77777777" w:rsidR="000F602E" w:rsidRDefault="000F602E" w:rsidP="000F602E">
      <w:pPr>
        <w:jc w:val="center"/>
        <w:rPr>
          <w:b/>
          <w:bCs/>
          <w:lang w:val="en-US"/>
        </w:rPr>
      </w:pPr>
      <w:r w:rsidRPr="002A0B11">
        <w:rPr>
          <w:b/>
          <w:bCs/>
          <w:lang w:val="en-US"/>
        </w:rPr>
        <w:t>Fund Services Internship</w:t>
      </w:r>
    </w:p>
    <w:p w14:paraId="0FD450EC" w14:textId="77777777" w:rsidR="0054346C" w:rsidRDefault="0054346C" w:rsidP="000F602E">
      <w:pPr>
        <w:jc w:val="center"/>
        <w:rPr>
          <w:b/>
          <w:bCs/>
          <w:lang w:val="en-US"/>
        </w:rPr>
      </w:pPr>
    </w:p>
    <w:p w14:paraId="7D9146BB" w14:textId="77777777" w:rsidR="0054346C" w:rsidRDefault="0054346C" w:rsidP="000F602E">
      <w:pPr>
        <w:jc w:val="center"/>
        <w:rPr>
          <w:b/>
          <w:bCs/>
          <w:lang w:val="en-US"/>
        </w:rPr>
      </w:pPr>
    </w:p>
    <w:p w14:paraId="09CAA3F9" w14:textId="77777777" w:rsidR="000F602E" w:rsidRPr="0054346C" w:rsidRDefault="000F602E" w:rsidP="000F602E">
      <w:pPr>
        <w:rPr>
          <w:b/>
          <w:bCs/>
          <w:u w:val="single"/>
          <w:lang w:val="en-US"/>
        </w:rPr>
      </w:pPr>
      <w:r w:rsidRPr="0054346C">
        <w:rPr>
          <w:b/>
          <w:bCs/>
          <w:u w:val="single"/>
          <w:lang w:val="en-US"/>
        </w:rPr>
        <w:t>Job Description</w:t>
      </w:r>
    </w:p>
    <w:p w14:paraId="3E012F8B" w14:textId="77777777" w:rsidR="000F602E" w:rsidRPr="002A0B11" w:rsidRDefault="000F602E" w:rsidP="000F602E">
      <w:pPr>
        <w:rPr>
          <w:lang w:val="en-US"/>
        </w:rPr>
      </w:pPr>
      <w:r w:rsidRPr="002A0B11">
        <w:rPr>
          <w:lang w:val="en-US"/>
        </w:rPr>
        <w:t xml:space="preserve">Processes &amp; Client Operations Unit </w:t>
      </w:r>
      <w:proofErr w:type="gramStart"/>
      <w:r w:rsidRPr="002A0B11">
        <w:rPr>
          <w:lang w:val="en-US"/>
        </w:rPr>
        <w:t>is in charge of</w:t>
      </w:r>
      <w:proofErr w:type="gramEnd"/>
      <w:r w:rsidRPr="002A0B11">
        <w:rPr>
          <w:lang w:val="en-US"/>
        </w:rPr>
        <w:t>:</w:t>
      </w:r>
    </w:p>
    <w:p w14:paraId="4E89C827" w14:textId="77777777" w:rsidR="000F602E" w:rsidRDefault="000F602E" w:rsidP="000F602E">
      <w:pPr>
        <w:pStyle w:val="Paragrafoelenco"/>
        <w:numPr>
          <w:ilvl w:val="0"/>
          <w:numId w:val="1"/>
        </w:numPr>
        <w:rPr>
          <w:lang w:val="en-US"/>
        </w:rPr>
      </w:pPr>
      <w:r w:rsidRPr="002A0B11">
        <w:rPr>
          <w:lang w:val="en-US"/>
        </w:rPr>
        <w:t>Process mapping, updating and optimization</w:t>
      </w:r>
    </w:p>
    <w:p w14:paraId="16D06626" w14:textId="77777777" w:rsidR="000F602E" w:rsidRDefault="000F602E" w:rsidP="000F602E">
      <w:pPr>
        <w:pStyle w:val="Paragrafoelenco"/>
        <w:numPr>
          <w:ilvl w:val="0"/>
          <w:numId w:val="1"/>
        </w:numPr>
        <w:rPr>
          <w:lang w:val="en-US"/>
        </w:rPr>
      </w:pPr>
      <w:r w:rsidRPr="002A0B11">
        <w:rPr>
          <w:lang w:val="en-US"/>
        </w:rPr>
        <w:t>Onboarding/offboarding activities for the Asset Manager operations perimeter</w:t>
      </w:r>
    </w:p>
    <w:p w14:paraId="53EB7B72" w14:textId="77777777" w:rsidR="000F602E" w:rsidRDefault="000F602E" w:rsidP="000F602E">
      <w:pPr>
        <w:pStyle w:val="Paragrafoelenco"/>
        <w:numPr>
          <w:ilvl w:val="0"/>
          <w:numId w:val="1"/>
        </w:numPr>
        <w:rPr>
          <w:lang w:val="en-US"/>
        </w:rPr>
      </w:pPr>
      <w:r w:rsidRPr="002A0B11">
        <w:rPr>
          <w:lang w:val="en-US"/>
        </w:rPr>
        <w:t xml:space="preserve">Fund services </w:t>
      </w:r>
    </w:p>
    <w:p w14:paraId="0BEBB4BC" w14:textId="77777777" w:rsidR="000F602E" w:rsidRDefault="000F602E" w:rsidP="000F602E">
      <w:pPr>
        <w:pStyle w:val="Paragrafoelenco"/>
        <w:numPr>
          <w:ilvl w:val="0"/>
          <w:numId w:val="1"/>
        </w:numPr>
        <w:rPr>
          <w:lang w:val="en-US"/>
        </w:rPr>
      </w:pPr>
      <w:r w:rsidRPr="002A0B11">
        <w:rPr>
          <w:lang w:val="en-US"/>
        </w:rPr>
        <w:t>Anti-Money Laundering / Counter Terrorism financing (KYC) first level activities.</w:t>
      </w:r>
    </w:p>
    <w:p w14:paraId="20538335" w14:textId="77777777" w:rsidR="0054346C" w:rsidRPr="002A0B11" w:rsidRDefault="0054346C" w:rsidP="0054346C">
      <w:pPr>
        <w:pStyle w:val="Paragrafoelenco"/>
        <w:rPr>
          <w:lang w:val="en-US"/>
        </w:rPr>
      </w:pPr>
    </w:p>
    <w:p w14:paraId="6C814E7C" w14:textId="77777777" w:rsidR="000F602E" w:rsidRPr="002A0B11" w:rsidRDefault="000F602E" w:rsidP="000F602E">
      <w:pPr>
        <w:rPr>
          <w:lang w:val="en-US"/>
        </w:rPr>
      </w:pPr>
      <w:r w:rsidRPr="002A0B11">
        <w:rPr>
          <w:lang w:val="en-US"/>
        </w:rPr>
        <w:t xml:space="preserve">Within the Unit, we are currently looking for a Fund Services Intern. The role holder, reporting to the Head of Fund services, will support the Fund Services Unit be in its activities within GenAM Operations Function: </w:t>
      </w:r>
    </w:p>
    <w:p w14:paraId="37ACE21C" w14:textId="77777777" w:rsidR="000F602E" w:rsidRDefault="000F602E" w:rsidP="000F602E">
      <w:pPr>
        <w:pStyle w:val="Paragrafoelenco"/>
        <w:numPr>
          <w:ilvl w:val="0"/>
          <w:numId w:val="2"/>
        </w:numPr>
        <w:rPr>
          <w:lang w:val="en-US"/>
        </w:rPr>
      </w:pPr>
      <w:r w:rsidRPr="002A0B11">
        <w:rPr>
          <w:lang w:val="en-US"/>
        </w:rPr>
        <w:t xml:space="preserve">Activities strictly linked to the operational set up of Italian, French and Luxembourg funds (support the definition of the SLA, coordinate the distribution of the funds’ dividend, etc.) </w:t>
      </w:r>
    </w:p>
    <w:p w14:paraId="7E6B17C5" w14:textId="77777777" w:rsidR="000F602E" w:rsidRDefault="000F602E" w:rsidP="000F602E">
      <w:pPr>
        <w:pStyle w:val="Paragrafoelenco"/>
        <w:numPr>
          <w:ilvl w:val="0"/>
          <w:numId w:val="2"/>
        </w:numPr>
        <w:rPr>
          <w:lang w:val="en-US"/>
        </w:rPr>
      </w:pPr>
      <w:r w:rsidRPr="002A0B11">
        <w:rPr>
          <w:lang w:val="en-US"/>
        </w:rPr>
        <w:t xml:space="preserve">Activities under the Asset Manager’s responsibility related to the Transfer Agent of Italian funds and oversight of Transfer Agent and Fund Administrator operational activities related to the Italian, French and Luxembourg funds </w:t>
      </w:r>
    </w:p>
    <w:p w14:paraId="6D7BEB55" w14:textId="77777777" w:rsidR="000F602E" w:rsidRDefault="000F602E" w:rsidP="000F602E">
      <w:pPr>
        <w:pStyle w:val="Paragrafoelenco"/>
        <w:numPr>
          <w:ilvl w:val="0"/>
          <w:numId w:val="2"/>
        </w:numPr>
        <w:rPr>
          <w:lang w:val="en-US"/>
        </w:rPr>
      </w:pPr>
      <w:r w:rsidRPr="002A0B11">
        <w:rPr>
          <w:lang w:val="en-US"/>
        </w:rPr>
        <w:t>Checking the proper integration of subscriptions/redemptions in the NAV calculation and perform all related monitoring activities</w:t>
      </w:r>
    </w:p>
    <w:p w14:paraId="46000501" w14:textId="77777777" w:rsidR="000F602E" w:rsidRDefault="000F602E" w:rsidP="000F602E">
      <w:pPr>
        <w:pStyle w:val="Paragrafoelenco"/>
        <w:numPr>
          <w:ilvl w:val="0"/>
          <w:numId w:val="2"/>
        </w:numPr>
        <w:rPr>
          <w:lang w:val="en-US"/>
        </w:rPr>
      </w:pPr>
      <w:r w:rsidRPr="002A0B11">
        <w:rPr>
          <w:lang w:val="en-US"/>
        </w:rPr>
        <w:t xml:space="preserve">Monitoring relevant data related to the “major interest in shares” notification </w:t>
      </w:r>
    </w:p>
    <w:p w14:paraId="09CCCB36" w14:textId="77777777" w:rsidR="000F602E" w:rsidRDefault="000F602E" w:rsidP="000F602E">
      <w:pPr>
        <w:pStyle w:val="Paragrafoelenco"/>
        <w:numPr>
          <w:ilvl w:val="0"/>
          <w:numId w:val="2"/>
        </w:numPr>
        <w:rPr>
          <w:lang w:val="en-US"/>
        </w:rPr>
      </w:pPr>
      <w:r w:rsidRPr="002A0B11">
        <w:rPr>
          <w:lang w:val="en-US"/>
        </w:rPr>
        <w:t xml:space="preserve">Monitoring funds’ and Asset Managers’ costs and related </w:t>
      </w:r>
      <w:proofErr w:type="gramStart"/>
      <w:r w:rsidRPr="002A0B11">
        <w:rPr>
          <w:lang w:val="en-US"/>
        </w:rPr>
        <w:t>payments;</w:t>
      </w:r>
      <w:proofErr w:type="gramEnd"/>
      <w:r w:rsidRPr="002A0B11">
        <w:rPr>
          <w:lang w:val="en-US"/>
        </w:rPr>
        <w:t xml:space="preserve"> </w:t>
      </w:r>
    </w:p>
    <w:p w14:paraId="109C93E9" w14:textId="77777777" w:rsidR="000F602E" w:rsidRDefault="000F602E" w:rsidP="000F602E">
      <w:pPr>
        <w:pStyle w:val="Paragrafoelenco"/>
        <w:numPr>
          <w:ilvl w:val="0"/>
          <w:numId w:val="2"/>
        </w:numPr>
        <w:rPr>
          <w:lang w:val="en-US"/>
        </w:rPr>
      </w:pPr>
      <w:r w:rsidRPr="002A0B11">
        <w:rPr>
          <w:lang w:val="en-US"/>
        </w:rPr>
        <w:t xml:space="preserve">Monitoring massive </w:t>
      </w:r>
      <w:proofErr w:type="gramStart"/>
      <w:r w:rsidRPr="002A0B11">
        <w:rPr>
          <w:lang w:val="en-US"/>
        </w:rPr>
        <w:t>redemptions;</w:t>
      </w:r>
      <w:proofErr w:type="gramEnd"/>
      <w:r w:rsidRPr="002A0B11">
        <w:rPr>
          <w:lang w:val="en-US"/>
        </w:rPr>
        <w:t xml:space="preserve"> </w:t>
      </w:r>
    </w:p>
    <w:p w14:paraId="61E31B72" w14:textId="77777777" w:rsidR="000F602E" w:rsidRDefault="000F602E" w:rsidP="000F602E">
      <w:pPr>
        <w:pStyle w:val="Paragrafoelenco"/>
        <w:numPr>
          <w:ilvl w:val="0"/>
          <w:numId w:val="2"/>
        </w:numPr>
        <w:rPr>
          <w:lang w:val="en-US"/>
        </w:rPr>
      </w:pPr>
      <w:r w:rsidRPr="002A0B11">
        <w:rPr>
          <w:lang w:val="en-US"/>
        </w:rPr>
        <w:t>Elaborating Part II of “</w:t>
      </w:r>
      <w:proofErr w:type="spellStart"/>
      <w:r w:rsidRPr="002A0B11">
        <w:rPr>
          <w:lang w:val="en-US"/>
        </w:rPr>
        <w:t>Prospetto</w:t>
      </w:r>
      <w:proofErr w:type="spellEnd"/>
      <w:r w:rsidRPr="002A0B11">
        <w:rPr>
          <w:lang w:val="en-US"/>
        </w:rPr>
        <w:t xml:space="preserve"> </w:t>
      </w:r>
      <w:proofErr w:type="spellStart"/>
      <w:r w:rsidRPr="002A0B11">
        <w:rPr>
          <w:lang w:val="en-US"/>
        </w:rPr>
        <w:t>Informativo</w:t>
      </w:r>
      <w:proofErr w:type="spellEnd"/>
      <w:r w:rsidRPr="002A0B11">
        <w:rPr>
          <w:lang w:val="en-US"/>
        </w:rPr>
        <w:t xml:space="preserve">” of the Collective Investment </w:t>
      </w:r>
      <w:proofErr w:type="gramStart"/>
      <w:r w:rsidRPr="002A0B11">
        <w:rPr>
          <w:lang w:val="en-US"/>
        </w:rPr>
        <w:t>Schemes;</w:t>
      </w:r>
      <w:proofErr w:type="gramEnd"/>
      <w:r w:rsidRPr="002A0B11">
        <w:rPr>
          <w:lang w:val="en-US"/>
        </w:rPr>
        <w:t xml:space="preserve"> </w:t>
      </w:r>
    </w:p>
    <w:p w14:paraId="60A0E165" w14:textId="77777777" w:rsidR="000F602E" w:rsidRDefault="000F602E" w:rsidP="000F602E">
      <w:pPr>
        <w:pStyle w:val="Paragrafoelenco"/>
        <w:numPr>
          <w:ilvl w:val="0"/>
          <w:numId w:val="2"/>
        </w:numPr>
        <w:rPr>
          <w:lang w:val="en-US"/>
        </w:rPr>
      </w:pPr>
      <w:r w:rsidRPr="002A0B11">
        <w:rPr>
          <w:lang w:val="en-US"/>
        </w:rPr>
        <w:t>Help in providing relevant data for Regulatory Reports</w:t>
      </w:r>
    </w:p>
    <w:p w14:paraId="16F3B8A2" w14:textId="77777777" w:rsidR="000F602E" w:rsidRDefault="000F602E" w:rsidP="000F602E">
      <w:pPr>
        <w:pStyle w:val="Paragrafoelenco"/>
        <w:numPr>
          <w:ilvl w:val="0"/>
          <w:numId w:val="2"/>
        </w:numPr>
        <w:rPr>
          <w:lang w:val="en-US"/>
        </w:rPr>
      </w:pPr>
      <w:r w:rsidRPr="002A0B11">
        <w:rPr>
          <w:lang w:val="en-US"/>
        </w:rPr>
        <w:t>Interact with Funds’ Auditors when needed</w:t>
      </w:r>
    </w:p>
    <w:p w14:paraId="1EFEE9A2" w14:textId="77777777" w:rsidR="000F602E" w:rsidRDefault="000F602E" w:rsidP="000F602E">
      <w:pPr>
        <w:rPr>
          <w:b/>
          <w:bCs/>
          <w:u w:val="single"/>
          <w:lang w:val="en-US"/>
        </w:rPr>
      </w:pPr>
    </w:p>
    <w:p w14:paraId="3455A9F8" w14:textId="77777777" w:rsidR="000F602E" w:rsidRDefault="000F602E" w:rsidP="000F602E">
      <w:pPr>
        <w:rPr>
          <w:b/>
          <w:bCs/>
          <w:u w:val="single"/>
          <w:lang w:val="en-US"/>
        </w:rPr>
      </w:pPr>
      <w:r w:rsidRPr="002A0B11">
        <w:rPr>
          <w:b/>
          <w:bCs/>
          <w:u w:val="single"/>
          <w:lang w:val="en-US"/>
        </w:rPr>
        <w:t>Requirements</w:t>
      </w:r>
    </w:p>
    <w:tbl>
      <w:tblPr>
        <w:tblStyle w:val="Grigliatabella"/>
        <w:tblW w:w="10420" w:type="dxa"/>
        <w:tblLook w:val="04A0" w:firstRow="1" w:lastRow="0" w:firstColumn="1" w:lastColumn="0" w:noHBand="0" w:noVBand="1"/>
      </w:tblPr>
      <w:tblGrid>
        <w:gridCol w:w="10420"/>
      </w:tblGrid>
      <w:tr w:rsidR="000F602E" w:rsidRPr="009A2914" w14:paraId="55CA6D61" w14:textId="77777777" w:rsidTr="00562F1D">
        <w:trPr>
          <w:trHeight w:val="1428"/>
        </w:trPr>
        <w:tc>
          <w:tcPr>
            <w:tcW w:w="10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6658D2" w14:textId="77777777" w:rsidR="000F602E" w:rsidRPr="002A0B11" w:rsidRDefault="000F602E" w:rsidP="000F602E">
            <w:pPr>
              <w:pStyle w:val="Paragrafoelenco"/>
              <w:numPr>
                <w:ilvl w:val="0"/>
                <w:numId w:val="3"/>
              </w:numPr>
              <w:suppressAutoHyphens w:val="0"/>
              <w:autoSpaceDN/>
              <w:spacing w:before="100" w:beforeAutospacing="1" w:after="100" w:afterAutospacing="1" w:line="240" w:lineRule="auto"/>
              <w:contextualSpacing w:val="0"/>
              <w:jc w:val="both"/>
              <w:rPr>
                <w:sz w:val="24"/>
                <w:szCs w:val="24"/>
                <w:lang w:val="en-US"/>
              </w:rPr>
            </w:pPr>
            <w:r w:rsidRPr="002A0B11">
              <w:rPr>
                <w:sz w:val="24"/>
                <w:szCs w:val="24"/>
                <w:lang w:val="en-US"/>
              </w:rPr>
              <w:t xml:space="preserve">Master’s degree in finance or economics </w:t>
            </w:r>
          </w:p>
          <w:p w14:paraId="526A664D" w14:textId="77777777" w:rsidR="000F602E" w:rsidRPr="002A0B11" w:rsidRDefault="000F602E" w:rsidP="000F602E">
            <w:pPr>
              <w:pStyle w:val="Paragrafoelenco"/>
              <w:numPr>
                <w:ilvl w:val="0"/>
                <w:numId w:val="3"/>
              </w:numPr>
              <w:suppressAutoHyphens w:val="0"/>
              <w:autoSpaceDN/>
              <w:spacing w:before="100" w:beforeAutospacing="1" w:after="100" w:afterAutospacing="1" w:line="240" w:lineRule="auto"/>
              <w:contextualSpacing w:val="0"/>
              <w:jc w:val="both"/>
              <w:rPr>
                <w:sz w:val="24"/>
                <w:szCs w:val="24"/>
                <w:lang w:val="en-US"/>
              </w:rPr>
            </w:pPr>
            <w:r w:rsidRPr="002A0B11">
              <w:rPr>
                <w:sz w:val="24"/>
                <w:szCs w:val="24"/>
                <w:lang w:val="en-US"/>
              </w:rPr>
              <w:t>Knowledge of asset &amp; wealth management industry</w:t>
            </w:r>
          </w:p>
          <w:p w14:paraId="56E37508" w14:textId="77777777" w:rsidR="000F602E" w:rsidRPr="002A0B11" w:rsidRDefault="000F602E" w:rsidP="000F602E">
            <w:pPr>
              <w:pStyle w:val="Paragrafoelenco"/>
              <w:numPr>
                <w:ilvl w:val="0"/>
                <w:numId w:val="3"/>
              </w:numPr>
              <w:suppressAutoHyphens w:val="0"/>
              <w:autoSpaceDN/>
              <w:spacing w:before="100" w:beforeAutospacing="1" w:after="100" w:afterAutospacing="1" w:line="240" w:lineRule="auto"/>
              <w:contextualSpacing w:val="0"/>
              <w:jc w:val="both"/>
              <w:rPr>
                <w:sz w:val="24"/>
                <w:szCs w:val="24"/>
                <w:lang w:val="en-US"/>
              </w:rPr>
            </w:pPr>
            <w:r w:rsidRPr="002A0B11">
              <w:rPr>
                <w:sz w:val="24"/>
                <w:szCs w:val="24"/>
                <w:lang w:val="en-US"/>
              </w:rPr>
              <w:t>Fluency in English. The knowledge of a second foreign language (French and/or German) will be considered a plus</w:t>
            </w:r>
          </w:p>
          <w:p w14:paraId="6F0DA4AC" w14:textId="77777777" w:rsidR="000F602E" w:rsidRPr="002A0B11" w:rsidRDefault="000F602E" w:rsidP="000F602E">
            <w:pPr>
              <w:pStyle w:val="Paragrafoelenco"/>
              <w:numPr>
                <w:ilvl w:val="0"/>
                <w:numId w:val="3"/>
              </w:numPr>
              <w:suppressAutoHyphens w:val="0"/>
              <w:autoSpaceDN/>
              <w:spacing w:before="100" w:beforeAutospacing="1" w:after="100" w:afterAutospacing="1" w:line="240" w:lineRule="auto"/>
              <w:contextualSpacing w:val="0"/>
              <w:jc w:val="both"/>
              <w:rPr>
                <w:sz w:val="24"/>
                <w:szCs w:val="24"/>
                <w:lang w:val="en-US"/>
              </w:rPr>
            </w:pPr>
            <w:r w:rsidRPr="002A0B11">
              <w:rPr>
                <w:sz w:val="24"/>
                <w:szCs w:val="24"/>
                <w:lang w:val="en-US"/>
              </w:rPr>
              <w:t>Proficiency in Office tools</w:t>
            </w:r>
          </w:p>
          <w:p w14:paraId="7973427B" w14:textId="77777777" w:rsidR="000F602E" w:rsidRPr="002A0B11" w:rsidRDefault="000F602E" w:rsidP="00562F1D">
            <w:pPr>
              <w:rPr>
                <w:sz w:val="24"/>
                <w:szCs w:val="24"/>
                <w:lang w:val="en-US"/>
              </w:rPr>
            </w:pPr>
          </w:p>
        </w:tc>
      </w:tr>
      <w:tr w:rsidR="000F602E" w:rsidRPr="0054346C" w14:paraId="214E9832" w14:textId="77777777" w:rsidTr="00562F1D">
        <w:trPr>
          <w:trHeight w:val="2283"/>
        </w:trPr>
        <w:tc>
          <w:tcPr>
            <w:tcW w:w="10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D31674" w14:textId="77777777" w:rsidR="000F602E" w:rsidRPr="002A0B11" w:rsidRDefault="000F602E" w:rsidP="000F602E">
            <w:pPr>
              <w:pStyle w:val="NormaleWeb"/>
              <w:numPr>
                <w:ilvl w:val="0"/>
                <w:numId w:val="4"/>
              </w:numPr>
              <w:rPr>
                <w:rFonts w:ascii="Aptos" w:eastAsia="Aptos" w:hAnsi="Aptos"/>
                <w:kern w:val="3"/>
                <w:sz w:val="24"/>
                <w:szCs w:val="24"/>
                <w:lang w:val="en-US" w:eastAsia="en-US"/>
              </w:rPr>
            </w:pPr>
            <w:r w:rsidRPr="002A0B11">
              <w:rPr>
                <w:rFonts w:ascii="Aptos" w:eastAsia="Aptos" w:hAnsi="Aptos"/>
                <w:kern w:val="3"/>
                <w:sz w:val="24"/>
                <w:szCs w:val="24"/>
                <w:lang w:val="en-US" w:eastAsia="en-US"/>
              </w:rPr>
              <w:lastRenderedPageBreak/>
              <w:t xml:space="preserve">Self-motivated, strong </w:t>
            </w:r>
            <w:proofErr w:type="gramStart"/>
            <w:r w:rsidRPr="002A0B11">
              <w:rPr>
                <w:rFonts w:ascii="Aptos" w:eastAsia="Aptos" w:hAnsi="Aptos"/>
                <w:kern w:val="3"/>
                <w:sz w:val="24"/>
                <w:szCs w:val="24"/>
                <w:lang w:val="en-US" w:eastAsia="en-US"/>
              </w:rPr>
              <w:t>team working</w:t>
            </w:r>
            <w:proofErr w:type="gramEnd"/>
            <w:r w:rsidRPr="002A0B11">
              <w:rPr>
                <w:rFonts w:ascii="Aptos" w:eastAsia="Aptos" w:hAnsi="Aptos"/>
                <w:kern w:val="3"/>
                <w:sz w:val="24"/>
                <w:szCs w:val="24"/>
                <w:lang w:val="en-US" w:eastAsia="en-US"/>
              </w:rPr>
              <w:t xml:space="preserve"> and interpersonal skills</w:t>
            </w:r>
          </w:p>
          <w:p w14:paraId="2A112F6B" w14:textId="77777777" w:rsidR="000F602E" w:rsidRPr="002A0B11" w:rsidRDefault="000F602E" w:rsidP="000F602E">
            <w:pPr>
              <w:pStyle w:val="NormaleWeb"/>
              <w:numPr>
                <w:ilvl w:val="0"/>
                <w:numId w:val="4"/>
              </w:numPr>
              <w:rPr>
                <w:rFonts w:ascii="Aptos" w:eastAsia="Aptos" w:hAnsi="Aptos"/>
                <w:kern w:val="3"/>
                <w:sz w:val="24"/>
                <w:szCs w:val="24"/>
                <w:lang w:val="en-US" w:eastAsia="en-US"/>
              </w:rPr>
            </w:pPr>
            <w:r w:rsidRPr="002A0B11">
              <w:rPr>
                <w:rFonts w:ascii="Aptos" w:eastAsia="Aptos" w:hAnsi="Aptos"/>
                <w:kern w:val="3"/>
                <w:sz w:val="24"/>
                <w:szCs w:val="24"/>
                <w:lang w:val="en-US" w:eastAsia="en-US"/>
              </w:rPr>
              <w:t xml:space="preserve">Proactive </w:t>
            </w:r>
          </w:p>
          <w:p w14:paraId="7054D616" w14:textId="77777777" w:rsidR="000F602E" w:rsidRPr="002A0B11" w:rsidRDefault="000F602E" w:rsidP="000F602E">
            <w:pPr>
              <w:pStyle w:val="NormaleWeb"/>
              <w:numPr>
                <w:ilvl w:val="0"/>
                <w:numId w:val="4"/>
              </w:numPr>
              <w:rPr>
                <w:rFonts w:ascii="Aptos" w:eastAsia="Aptos" w:hAnsi="Aptos"/>
                <w:kern w:val="3"/>
                <w:sz w:val="24"/>
                <w:szCs w:val="24"/>
                <w:lang w:val="en-US" w:eastAsia="en-US"/>
              </w:rPr>
            </w:pPr>
            <w:r w:rsidRPr="002A0B11">
              <w:rPr>
                <w:rFonts w:ascii="Aptos" w:eastAsia="Aptos" w:hAnsi="Aptos"/>
                <w:kern w:val="3"/>
                <w:sz w:val="24"/>
                <w:szCs w:val="24"/>
                <w:lang w:val="en-US" w:eastAsia="en-US"/>
              </w:rPr>
              <w:t>Attention to detail and regulatory compliance</w:t>
            </w:r>
          </w:p>
          <w:p w14:paraId="01A60F5E" w14:textId="77777777" w:rsidR="000F602E" w:rsidRPr="002A0B11" w:rsidRDefault="000F602E" w:rsidP="000F602E">
            <w:pPr>
              <w:pStyle w:val="NormaleWeb"/>
              <w:numPr>
                <w:ilvl w:val="0"/>
                <w:numId w:val="4"/>
              </w:numPr>
              <w:rPr>
                <w:rFonts w:ascii="Aptos" w:eastAsia="Aptos" w:hAnsi="Aptos"/>
                <w:kern w:val="3"/>
                <w:sz w:val="24"/>
                <w:szCs w:val="24"/>
                <w:lang w:val="en-US" w:eastAsia="en-US"/>
              </w:rPr>
            </w:pPr>
            <w:r w:rsidRPr="002A0B11">
              <w:rPr>
                <w:rFonts w:ascii="Aptos" w:eastAsia="Aptos" w:hAnsi="Aptos"/>
                <w:kern w:val="3"/>
                <w:sz w:val="24"/>
                <w:szCs w:val="24"/>
                <w:lang w:val="en-US" w:eastAsia="en-US"/>
              </w:rPr>
              <w:t>Solid problem solving and ability to perform well under pressure and against tight deadlines</w:t>
            </w:r>
          </w:p>
          <w:p w14:paraId="5AA848E9" w14:textId="77777777" w:rsidR="000F602E" w:rsidRPr="002A0B11" w:rsidRDefault="000F602E" w:rsidP="000F602E">
            <w:pPr>
              <w:pStyle w:val="NormaleWeb"/>
              <w:numPr>
                <w:ilvl w:val="0"/>
                <w:numId w:val="4"/>
              </w:numPr>
              <w:rPr>
                <w:rFonts w:ascii="Aptos" w:eastAsia="Aptos" w:hAnsi="Aptos"/>
                <w:kern w:val="3"/>
                <w:sz w:val="24"/>
                <w:szCs w:val="24"/>
                <w:lang w:val="en-US" w:eastAsia="en-US"/>
              </w:rPr>
            </w:pPr>
            <w:r w:rsidRPr="002A0B11">
              <w:rPr>
                <w:rFonts w:ascii="Aptos" w:eastAsia="Aptos" w:hAnsi="Aptos"/>
                <w:kern w:val="3"/>
                <w:sz w:val="24"/>
                <w:szCs w:val="24"/>
                <w:lang w:val="en-US" w:eastAsia="en-US"/>
              </w:rPr>
              <w:t>International mindset</w:t>
            </w:r>
          </w:p>
          <w:p w14:paraId="05020298" w14:textId="77777777" w:rsidR="000F602E" w:rsidRDefault="000F602E" w:rsidP="000F602E">
            <w:pPr>
              <w:pStyle w:val="NormaleWeb"/>
              <w:numPr>
                <w:ilvl w:val="0"/>
                <w:numId w:val="4"/>
              </w:numPr>
              <w:rPr>
                <w:rFonts w:ascii="Aptos" w:eastAsia="Aptos" w:hAnsi="Aptos"/>
                <w:kern w:val="3"/>
                <w:sz w:val="24"/>
                <w:szCs w:val="24"/>
                <w:lang w:val="en-US" w:eastAsia="en-US"/>
              </w:rPr>
            </w:pPr>
            <w:r w:rsidRPr="002A0B11">
              <w:rPr>
                <w:rFonts w:ascii="Aptos" w:eastAsia="Aptos" w:hAnsi="Aptos"/>
                <w:kern w:val="3"/>
                <w:sz w:val="24"/>
                <w:szCs w:val="24"/>
                <w:lang w:val="en-US" w:eastAsia="en-US"/>
              </w:rPr>
              <w:t xml:space="preserve">Hands-on, curious, highly motivated and energetic, flexible, with a deep sense of </w:t>
            </w:r>
            <w:proofErr w:type="gramStart"/>
            <w:r w:rsidRPr="002A0B11">
              <w:rPr>
                <w:rFonts w:ascii="Aptos" w:eastAsia="Aptos" w:hAnsi="Aptos"/>
                <w:kern w:val="3"/>
                <w:sz w:val="24"/>
                <w:szCs w:val="24"/>
                <w:lang w:val="en-US" w:eastAsia="en-US"/>
              </w:rPr>
              <w:t>client’s</w:t>
            </w:r>
            <w:proofErr w:type="gramEnd"/>
            <w:r w:rsidRPr="002A0B11">
              <w:rPr>
                <w:rFonts w:ascii="Aptos" w:eastAsia="Aptos" w:hAnsi="Aptos"/>
                <w:kern w:val="3"/>
                <w:sz w:val="24"/>
                <w:szCs w:val="24"/>
                <w:lang w:val="en-US" w:eastAsia="en-US"/>
              </w:rPr>
              <w:t xml:space="preserve"> interest and with a clear focus on results</w:t>
            </w:r>
          </w:p>
          <w:p w14:paraId="4AAD8B0F" w14:textId="77777777" w:rsidR="000F602E" w:rsidRDefault="000F602E" w:rsidP="00562F1D">
            <w:pPr>
              <w:pStyle w:val="NormaleWeb"/>
              <w:rPr>
                <w:rFonts w:ascii="Aptos" w:eastAsia="Aptos" w:hAnsi="Aptos"/>
                <w:kern w:val="3"/>
                <w:sz w:val="24"/>
                <w:szCs w:val="24"/>
                <w:lang w:val="en-US" w:eastAsia="en-US"/>
              </w:rPr>
            </w:pPr>
          </w:p>
          <w:p w14:paraId="392A2808" w14:textId="77777777" w:rsidR="0054346C" w:rsidRPr="002A0B11" w:rsidRDefault="0054346C" w:rsidP="00562F1D">
            <w:pPr>
              <w:pStyle w:val="NormaleWeb"/>
              <w:rPr>
                <w:rFonts w:ascii="Aptos" w:eastAsia="Aptos" w:hAnsi="Aptos"/>
                <w:kern w:val="3"/>
                <w:sz w:val="24"/>
                <w:szCs w:val="24"/>
                <w:lang w:val="en-US" w:eastAsia="en-US"/>
              </w:rPr>
            </w:pPr>
          </w:p>
        </w:tc>
      </w:tr>
    </w:tbl>
    <w:p w14:paraId="5F316F1C" w14:textId="77777777" w:rsidR="000F602E" w:rsidRDefault="000F602E" w:rsidP="000F602E">
      <w:pPr>
        <w:rPr>
          <w:u w:val="single"/>
          <w:lang w:val="en-US"/>
        </w:rPr>
      </w:pPr>
      <w:r>
        <w:rPr>
          <w:u w:val="single"/>
          <w:lang w:val="en-US"/>
        </w:rPr>
        <w:t>Company Profile</w:t>
      </w:r>
    </w:p>
    <w:p w14:paraId="068060D0" w14:textId="77777777" w:rsidR="000F602E" w:rsidRDefault="000F602E" w:rsidP="000F602E">
      <w:pPr>
        <w:rPr>
          <w:lang w:val="en-US"/>
        </w:rPr>
      </w:pPr>
      <w:r>
        <w:rPr>
          <w:lang w:val="en-US"/>
        </w:rPr>
        <w:t>Generali is a major player in the global insurance industry – a strategic and highly important sector for the growth, development and welfare of modern societies. Over almost 200 years, we have built a multinational Group that is present in more than 60 countries, with 470 companies and nearly 80,000 employees. Our Group aims to become the standard bearer and industry leader in the European retail insurance market, building on our existing base of 50 million retail clients, out of an overall total of 72 million.</w:t>
      </w:r>
    </w:p>
    <w:p w14:paraId="060EC4A9" w14:textId="77777777" w:rsidR="000F602E" w:rsidRDefault="000F602E" w:rsidP="000F602E">
      <w:pPr>
        <w:rPr>
          <w:lang w:val="en-US"/>
        </w:rPr>
      </w:pPr>
      <w:r>
        <w:rPr>
          <w:lang w:val="en-US"/>
        </w:rPr>
        <w:t>Generali Asset Management is a European investment specialist, offering a wide range of active funds and bespoke solutions across both public and private markets. Our investment experience is grounded in a solid heritage, with skills that have been developed and honed over time by managing Generali Group and external clients' assets.</w:t>
      </w:r>
    </w:p>
    <w:p w14:paraId="7F9B4A9A" w14:textId="77777777" w:rsidR="000F602E" w:rsidRDefault="000F602E" w:rsidP="000F602E">
      <w:pPr>
        <w:rPr>
          <w:lang w:val="en-US"/>
        </w:rPr>
      </w:pPr>
      <w:r>
        <w:rPr>
          <w:lang w:val="en-US"/>
        </w:rPr>
        <w:t xml:space="preserve">Generali Asset Management S.p.A. guarantees a solid framework of services designed to support various asset management activities. Key elements include the provisioning of IT services over all applications underpinning the investment and asset management value chain (Front Office, Trading Desk, Investment Compliance, Middle and Back Office, Analytics and Reporting, etc.) The company also acts as a holding company, retaining share capital in the boutiques and Generali </w:t>
      </w:r>
      <w:proofErr w:type="gramStart"/>
      <w:r>
        <w:rPr>
          <w:lang w:val="en-US"/>
        </w:rPr>
        <w:t>Investments’</w:t>
      </w:r>
      <w:proofErr w:type="gramEnd"/>
      <w:r>
        <w:rPr>
          <w:lang w:val="en-US"/>
        </w:rPr>
        <w:t xml:space="preserve"> companies.</w:t>
      </w:r>
    </w:p>
    <w:p w14:paraId="0810FAA2" w14:textId="77777777" w:rsidR="000F602E" w:rsidRPr="000F602E" w:rsidRDefault="000F602E">
      <w:pPr>
        <w:rPr>
          <w:lang w:val="en-US"/>
        </w:rPr>
      </w:pPr>
    </w:p>
    <w:sectPr w:rsidR="000F602E" w:rsidRPr="000F60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520D1"/>
    <w:multiLevelType w:val="hybridMultilevel"/>
    <w:tmpl w:val="DDACC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6E6214"/>
    <w:multiLevelType w:val="hybridMultilevel"/>
    <w:tmpl w:val="E84C6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897E7C"/>
    <w:multiLevelType w:val="hybridMultilevel"/>
    <w:tmpl w:val="7700A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AA0455"/>
    <w:multiLevelType w:val="hybridMultilevel"/>
    <w:tmpl w:val="B10832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7027094">
    <w:abstractNumId w:val="1"/>
  </w:num>
  <w:num w:numId="2" w16cid:durableId="649991074">
    <w:abstractNumId w:val="3"/>
  </w:num>
  <w:num w:numId="3" w16cid:durableId="522402877">
    <w:abstractNumId w:val="2"/>
  </w:num>
  <w:num w:numId="4" w16cid:durableId="240911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2E"/>
    <w:rsid w:val="000F602E"/>
    <w:rsid w:val="0054346C"/>
    <w:rsid w:val="00AB7E20"/>
    <w:rsid w:val="00F90F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5EF1"/>
  <w15:chartTrackingRefBased/>
  <w15:docId w15:val="{33CDFD86-9F44-416D-B1B0-FA42C8A2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602E"/>
    <w:pPr>
      <w:suppressAutoHyphens/>
      <w:autoSpaceDN w:val="0"/>
      <w:spacing w:line="276" w:lineRule="auto"/>
    </w:pPr>
    <w:rPr>
      <w:rFonts w:ascii="Aptos" w:eastAsia="Aptos" w:hAnsi="Aptos" w:cs="Times New Roman"/>
      <w:kern w:val="3"/>
      <w14:ligatures w14:val="none"/>
    </w:rPr>
  </w:style>
  <w:style w:type="paragraph" w:styleId="Titolo1">
    <w:name w:val="heading 1"/>
    <w:basedOn w:val="Normale"/>
    <w:next w:val="Normale"/>
    <w:link w:val="Titolo1Carattere"/>
    <w:uiPriority w:val="9"/>
    <w:qFormat/>
    <w:rsid w:val="000F6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F6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F602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F602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F602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F602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F602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F602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F602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602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F602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F602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F602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F602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F602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F602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F602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F602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F6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F602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F602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F602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F602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F602E"/>
    <w:rPr>
      <w:i/>
      <w:iCs/>
      <w:color w:val="404040" w:themeColor="text1" w:themeTint="BF"/>
    </w:rPr>
  </w:style>
  <w:style w:type="paragraph" w:styleId="Paragrafoelenco">
    <w:name w:val="List Paragraph"/>
    <w:aliases w:val="text bullet"/>
    <w:basedOn w:val="Normale"/>
    <w:link w:val="ParagrafoelencoCarattere"/>
    <w:uiPriority w:val="34"/>
    <w:qFormat/>
    <w:rsid w:val="000F602E"/>
    <w:pPr>
      <w:ind w:left="720"/>
      <w:contextualSpacing/>
    </w:pPr>
  </w:style>
  <w:style w:type="character" w:styleId="Enfasiintensa">
    <w:name w:val="Intense Emphasis"/>
    <w:basedOn w:val="Carpredefinitoparagrafo"/>
    <w:uiPriority w:val="21"/>
    <w:qFormat/>
    <w:rsid w:val="000F602E"/>
    <w:rPr>
      <w:i/>
      <w:iCs/>
      <w:color w:val="0F4761" w:themeColor="accent1" w:themeShade="BF"/>
    </w:rPr>
  </w:style>
  <w:style w:type="paragraph" w:styleId="Citazioneintensa">
    <w:name w:val="Intense Quote"/>
    <w:basedOn w:val="Normale"/>
    <w:next w:val="Normale"/>
    <w:link w:val="CitazioneintensaCarattere"/>
    <w:uiPriority w:val="30"/>
    <w:qFormat/>
    <w:rsid w:val="000F6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F602E"/>
    <w:rPr>
      <w:i/>
      <w:iCs/>
      <w:color w:val="0F4761" w:themeColor="accent1" w:themeShade="BF"/>
    </w:rPr>
  </w:style>
  <w:style w:type="character" w:styleId="Riferimentointenso">
    <w:name w:val="Intense Reference"/>
    <w:basedOn w:val="Carpredefinitoparagrafo"/>
    <w:uiPriority w:val="32"/>
    <w:qFormat/>
    <w:rsid w:val="000F602E"/>
    <w:rPr>
      <w:b/>
      <w:bCs/>
      <w:smallCaps/>
      <w:color w:val="0F4761" w:themeColor="accent1" w:themeShade="BF"/>
      <w:spacing w:val="5"/>
    </w:rPr>
  </w:style>
  <w:style w:type="paragraph" w:styleId="NormaleWeb">
    <w:name w:val="Normal (Web)"/>
    <w:basedOn w:val="Normale"/>
    <w:uiPriority w:val="99"/>
    <w:unhideWhenUsed/>
    <w:rsid w:val="000F602E"/>
    <w:pPr>
      <w:suppressAutoHyphens w:val="0"/>
      <w:autoSpaceDN/>
      <w:spacing w:before="100" w:beforeAutospacing="1" w:after="100" w:afterAutospacing="1" w:line="240" w:lineRule="auto"/>
      <w:jc w:val="both"/>
    </w:pPr>
    <w:rPr>
      <w:rFonts w:ascii="Times New Roman" w:eastAsiaTheme="minorHAnsi" w:hAnsi="Times New Roman"/>
      <w:kern w:val="0"/>
      <w:lang w:val="en" w:eastAsia="it-IT"/>
    </w:rPr>
  </w:style>
  <w:style w:type="table" w:styleId="Grigliatabella">
    <w:name w:val="Table Grid"/>
    <w:basedOn w:val="Tabellanormale"/>
    <w:uiPriority w:val="59"/>
    <w:rsid w:val="000F60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text bullet Carattere"/>
    <w:basedOn w:val="Carpredefinitoparagrafo"/>
    <w:link w:val="Paragrafoelenco"/>
    <w:uiPriority w:val="34"/>
    <w:rsid w:val="000F6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SCALABRIN SOFIA</dc:creator>
  <cp:keywords/>
  <dc:description/>
  <cp:lastModifiedBy>SCALABRIN SOFIA</cp:lastModifiedBy>
  <cp:revision>2</cp:revision>
  <dcterms:created xsi:type="dcterms:W3CDTF">2025-10-14T10:40:00Z</dcterms:created>
  <dcterms:modified xsi:type="dcterms:W3CDTF">2025-10-14T11:54:00Z</dcterms:modified>
</cp:coreProperties>
</file>