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center"/>
        <w:rPr>
          <w:b/>
          <w:sz w:val="22"/>
          <w:szCs w:val="22"/>
        </w:rPr>
      </w:pPr>
      <w:r w:rsidRPr="001E3B89">
        <w:rPr>
          <w:b/>
          <w:sz w:val="22"/>
          <w:szCs w:val="22"/>
        </w:rPr>
        <w:t>CRITERI DEL</w:t>
      </w:r>
      <w:r w:rsidRPr="00BD2AD7">
        <w:rPr>
          <w:b/>
          <w:sz w:val="22"/>
          <w:szCs w:val="22"/>
        </w:rPr>
        <w:t xml:space="preserve"> NUCLEO DI VALUTAZIONE </w:t>
      </w:r>
    </w:p>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both"/>
        <w:rPr>
          <w:sz w:val="22"/>
          <w:szCs w:val="22"/>
        </w:rPr>
      </w:pPr>
      <w:r w:rsidRPr="00BD2AD7">
        <w:rPr>
          <w:sz w:val="22"/>
          <w:szCs w:val="22"/>
        </w:rPr>
        <w:t>Il Nucleo di Valutazione, in sede di valutazione de</w:t>
      </w:r>
      <w:r w:rsidR="00D13969">
        <w:rPr>
          <w:sz w:val="22"/>
          <w:szCs w:val="22"/>
        </w:rPr>
        <w:t>lle proposte 2011/2012</w:t>
      </w:r>
      <w:r w:rsidRPr="00BD2AD7">
        <w:rPr>
          <w:sz w:val="22"/>
          <w:szCs w:val="22"/>
        </w:rPr>
        <w:t>, intende utilizzare i seguenti criteri:</w:t>
      </w:r>
    </w:p>
    <w:p w:rsidR="00755FAF" w:rsidRPr="00BD2AD7" w:rsidRDefault="00755FAF" w:rsidP="00755FAF">
      <w:pPr>
        <w:pBdr>
          <w:top w:val="single" w:sz="4" w:space="0" w:color="auto"/>
          <w:left w:val="single" w:sz="4" w:space="0" w:color="auto"/>
          <w:bottom w:val="single" w:sz="4" w:space="1" w:color="auto"/>
          <w:right w:val="single" w:sz="4" w:space="4" w:color="auto"/>
        </w:pBdr>
        <w:tabs>
          <w:tab w:val="left" w:pos="360"/>
        </w:tabs>
        <w:ind w:left="360" w:hanging="360"/>
        <w:jc w:val="both"/>
        <w:rPr>
          <w:b/>
          <w:sz w:val="22"/>
          <w:szCs w:val="22"/>
        </w:rPr>
      </w:pPr>
      <w:r w:rsidRPr="00BD2AD7">
        <w:rPr>
          <w:sz w:val="22"/>
          <w:szCs w:val="22"/>
        </w:rPr>
        <w:t>•</w:t>
      </w:r>
      <w:r w:rsidRPr="00BD2AD7">
        <w:rPr>
          <w:sz w:val="22"/>
          <w:szCs w:val="22"/>
        </w:rPr>
        <w:tab/>
      </w:r>
      <w:r w:rsidRPr="00BD2AD7">
        <w:rPr>
          <w:b/>
          <w:sz w:val="22"/>
          <w:szCs w:val="22"/>
        </w:rPr>
        <w:t>Definizione chiara ed esaustiva degli obiettivi formativi, plausibilità della motivazione e dei profili professionali individuati;</w:t>
      </w:r>
    </w:p>
    <w:p w:rsidR="00755FAF" w:rsidRPr="00BD2AD7" w:rsidRDefault="00755FAF" w:rsidP="00755FAF">
      <w:pPr>
        <w:pBdr>
          <w:top w:val="single" w:sz="4" w:space="0" w:color="auto"/>
          <w:left w:val="single" w:sz="4" w:space="0" w:color="auto"/>
          <w:bottom w:val="single" w:sz="4" w:space="1" w:color="auto"/>
          <w:right w:val="single" w:sz="4" w:space="4" w:color="auto"/>
        </w:pBdr>
        <w:tabs>
          <w:tab w:val="left" w:pos="360"/>
        </w:tabs>
        <w:ind w:left="360" w:hanging="360"/>
        <w:jc w:val="both"/>
        <w:rPr>
          <w:b/>
          <w:sz w:val="22"/>
          <w:szCs w:val="22"/>
        </w:rPr>
      </w:pPr>
      <w:r w:rsidRPr="00BD2AD7">
        <w:rPr>
          <w:sz w:val="22"/>
          <w:szCs w:val="22"/>
        </w:rPr>
        <w:t>•</w:t>
      </w:r>
      <w:r w:rsidRPr="00BD2AD7">
        <w:rPr>
          <w:sz w:val="22"/>
          <w:szCs w:val="22"/>
        </w:rPr>
        <w:tab/>
      </w:r>
      <w:r w:rsidRPr="00BD2AD7">
        <w:rPr>
          <w:b/>
          <w:sz w:val="22"/>
          <w:szCs w:val="22"/>
        </w:rPr>
        <w:t>Competenze del docente proponente e del direttore del corso;</w:t>
      </w:r>
    </w:p>
    <w:p w:rsidR="00755FAF" w:rsidRPr="00BD2AD7" w:rsidRDefault="00755FAF" w:rsidP="00755FAF">
      <w:pPr>
        <w:pBdr>
          <w:top w:val="single" w:sz="4" w:space="0" w:color="auto"/>
          <w:left w:val="single" w:sz="4" w:space="0" w:color="auto"/>
          <w:bottom w:val="single" w:sz="4" w:space="1" w:color="auto"/>
          <w:right w:val="single" w:sz="4" w:space="4" w:color="auto"/>
        </w:pBdr>
        <w:tabs>
          <w:tab w:val="left" w:pos="360"/>
        </w:tabs>
        <w:ind w:left="360" w:hanging="360"/>
        <w:jc w:val="both"/>
        <w:rPr>
          <w:b/>
          <w:sz w:val="22"/>
          <w:szCs w:val="22"/>
        </w:rPr>
      </w:pPr>
      <w:r w:rsidRPr="00BD2AD7">
        <w:rPr>
          <w:b/>
          <w:sz w:val="22"/>
          <w:szCs w:val="22"/>
        </w:rPr>
        <w:t>•</w:t>
      </w:r>
      <w:r w:rsidRPr="00BD2AD7">
        <w:rPr>
          <w:b/>
          <w:sz w:val="22"/>
          <w:szCs w:val="22"/>
        </w:rPr>
        <w:tab/>
        <w:t>Indicazione dei componenti del consiglio di corso;</w:t>
      </w:r>
    </w:p>
    <w:p w:rsidR="00755FAF" w:rsidRPr="00BD2AD7" w:rsidRDefault="00755FAF" w:rsidP="00755FAF">
      <w:pPr>
        <w:pBdr>
          <w:top w:val="single" w:sz="4" w:space="0" w:color="auto"/>
          <w:left w:val="single" w:sz="4" w:space="0" w:color="auto"/>
          <w:bottom w:val="single" w:sz="4" w:space="1" w:color="auto"/>
          <w:right w:val="single" w:sz="4" w:space="4" w:color="auto"/>
        </w:pBdr>
        <w:tabs>
          <w:tab w:val="left" w:pos="360"/>
        </w:tabs>
        <w:ind w:left="360" w:hanging="360"/>
        <w:jc w:val="both"/>
        <w:rPr>
          <w:b/>
          <w:sz w:val="22"/>
          <w:szCs w:val="22"/>
        </w:rPr>
      </w:pPr>
      <w:r w:rsidRPr="00BD2AD7">
        <w:rPr>
          <w:b/>
          <w:sz w:val="22"/>
          <w:szCs w:val="22"/>
        </w:rPr>
        <w:t>•</w:t>
      </w:r>
      <w:r w:rsidRPr="00BD2AD7">
        <w:rPr>
          <w:b/>
          <w:sz w:val="22"/>
          <w:szCs w:val="22"/>
        </w:rPr>
        <w:tab/>
        <w:t>Indicazione degli incaricati delle attività formative;</w:t>
      </w:r>
    </w:p>
    <w:p w:rsidR="00201305" w:rsidRDefault="00755FAF" w:rsidP="00201305">
      <w:pPr>
        <w:pBdr>
          <w:top w:val="single" w:sz="4" w:space="0" w:color="auto"/>
          <w:left w:val="single" w:sz="4" w:space="0" w:color="auto"/>
          <w:bottom w:val="single" w:sz="4" w:space="1" w:color="auto"/>
          <w:right w:val="single" w:sz="4" w:space="4" w:color="auto"/>
        </w:pBdr>
        <w:tabs>
          <w:tab w:val="left" w:pos="360"/>
        </w:tabs>
        <w:ind w:left="360" w:hanging="360"/>
        <w:jc w:val="both"/>
        <w:rPr>
          <w:b/>
          <w:sz w:val="22"/>
          <w:szCs w:val="22"/>
        </w:rPr>
      </w:pPr>
      <w:r w:rsidRPr="00BD2AD7">
        <w:rPr>
          <w:b/>
          <w:sz w:val="22"/>
          <w:szCs w:val="22"/>
        </w:rPr>
        <w:t>•</w:t>
      </w:r>
      <w:r w:rsidRPr="00BD2AD7">
        <w:rPr>
          <w:b/>
          <w:sz w:val="22"/>
          <w:szCs w:val="22"/>
        </w:rPr>
        <w:tab/>
        <w:t xml:space="preserve">Qualificazione </w:t>
      </w:r>
      <w:r w:rsidR="00201305">
        <w:rPr>
          <w:b/>
          <w:sz w:val="22"/>
          <w:szCs w:val="22"/>
        </w:rPr>
        <w:t>dei docenti impegnati nel corso;</w:t>
      </w:r>
    </w:p>
    <w:p w:rsidR="00FF1B02" w:rsidRPr="00BD2AD7" w:rsidRDefault="00D80110" w:rsidP="00201305">
      <w:pPr>
        <w:pBdr>
          <w:top w:val="single" w:sz="4" w:space="0" w:color="auto"/>
          <w:left w:val="single" w:sz="4" w:space="0" w:color="auto"/>
          <w:bottom w:val="single" w:sz="4" w:space="1" w:color="auto"/>
          <w:right w:val="single" w:sz="4" w:space="4" w:color="auto"/>
        </w:pBdr>
        <w:tabs>
          <w:tab w:val="left" w:pos="360"/>
        </w:tabs>
        <w:ind w:left="360" w:hanging="360"/>
        <w:jc w:val="both"/>
        <w:rPr>
          <w:b/>
          <w:sz w:val="22"/>
          <w:szCs w:val="22"/>
        </w:rPr>
      </w:pPr>
      <w:r w:rsidRPr="00BD2AD7">
        <w:rPr>
          <w:b/>
          <w:sz w:val="22"/>
          <w:szCs w:val="22"/>
        </w:rPr>
        <w:t>•</w:t>
      </w:r>
      <w:r w:rsidRPr="00BD2AD7">
        <w:rPr>
          <w:b/>
          <w:sz w:val="22"/>
          <w:szCs w:val="22"/>
        </w:rPr>
        <w:tab/>
      </w:r>
      <w:r>
        <w:rPr>
          <w:b/>
          <w:sz w:val="22"/>
          <w:szCs w:val="22"/>
        </w:rPr>
        <w:t>Copertura di almeno il 50% dei CFU di didattica assistita con docenza di ruolo o con personale convenzionato dell’azienda sanitaria (limitatamente ai corsi di area medica);</w:t>
      </w:r>
    </w:p>
    <w:p w:rsidR="00755FAF" w:rsidRPr="00BD2AD7" w:rsidRDefault="00755FAF" w:rsidP="00755FAF">
      <w:pPr>
        <w:pBdr>
          <w:top w:val="single" w:sz="4" w:space="0" w:color="auto"/>
          <w:left w:val="single" w:sz="4" w:space="0" w:color="auto"/>
          <w:bottom w:val="single" w:sz="4" w:space="1" w:color="auto"/>
          <w:right w:val="single" w:sz="4" w:space="4" w:color="auto"/>
        </w:pBdr>
        <w:tabs>
          <w:tab w:val="left" w:pos="360"/>
        </w:tabs>
        <w:ind w:left="360" w:hanging="360"/>
        <w:jc w:val="both"/>
        <w:rPr>
          <w:b/>
          <w:sz w:val="22"/>
          <w:szCs w:val="22"/>
        </w:rPr>
      </w:pPr>
      <w:r w:rsidRPr="00BD2AD7">
        <w:rPr>
          <w:b/>
          <w:sz w:val="22"/>
          <w:szCs w:val="22"/>
        </w:rPr>
        <w:t>•</w:t>
      </w:r>
      <w:r w:rsidRPr="00BD2AD7">
        <w:rPr>
          <w:b/>
          <w:sz w:val="22"/>
          <w:szCs w:val="22"/>
        </w:rPr>
        <w:tab/>
        <w:t>Copertura finanziaria del corso;</w:t>
      </w:r>
    </w:p>
    <w:p w:rsidR="00755FAF" w:rsidRDefault="00755FAF" w:rsidP="00BB7F0D">
      <w:pPr>
        <w:pBdr>
          <w:top w:val="single" w:sz="4" w:space="0" w:color="auto"/>
          <w:left w:val="single" w:sz="4" w:space="0" w:color="auto"/>
          <w:bottom w:val="single" w:sz="4" w:space="1" w:color="auto"/>
          <w:right w:val="single" w:sz="4" w:space="4" w:color="auto"/>
        </w:pBdr>
        <w:tabs>
          <w:tab w:val="left" w:pos="360"/>
        </w:tabs>
        <w:ind w:left="357" w:hanging="357"/>
        <w:jc w:val="both"/>
        <w:rPr>
          <w:b/>
          <w:sz w:val="22"/>
          <w:szCs w:val="22"/>
        </w:rPr>
      </w:pPr>
      <w:r w:rsidRPr="00BD2AD7">
        <w:rPr>
          <w:b/>
          <w:sz w:val="22"/>
          <w:szCs w:val="22"/>
        </w:rPr>
        <w:t>•</w:t>
      </w:r>
      <w:r w:rsidRPr="00BD2AD7">
        <w:rPr>
          <w:b/>
          <w:sz w:val="22"/>
          <w:szCs w:val="22"/>
        </w:rPr>
        <w:tab/>
        <w:t>Coerenza tra la pr</w:t>
      </w:r>
      <w:bookmarkStart w:id="0" w:name="_GoBack"/>
      <w:bookmarkEnd w:id="0"/>
      <w:r w:rsidRPr="00BD2AD7">
        <w:rPr>
          <w:b/>
          <w:sz w:val="22"/>
          <w:szCs w:val="22"/>
        </w:rPr>
        <w:t xml:space="preserve">oposta iniziale e la valutazione </w:t>
      </w:r>
      <w:r w:rsidR="00BB7F0D">
        <w:rPr>
          <w:b/>
          <w:sz w:val="22"/>
          <w:szCs w:val="22"/>
        </w:rPr>
        <w:t>in itinere (solo per i rinnovi);</w:t>
      </w:r>
    </w:p>
    <w:p w:rsidR="00BB7F0D" w:rsidRPr="00BD2AD7" w:rsidRDefault="00BB7F0D" w:rsidP="00755FAF">
      <w:pPr>
        <w:pBdr>
          <w:top w:val="single" w:sz="4" w:space="0" w:color="auto"/>
          <w:left w:val="single" w:sz="4" w:space="0" w:color="auto"/>
          <w:bottom w:val="single" w:sz="4" w:space="1" w:color="auto"/>
          <w:right w:val="single" w:sz="4" w:space="4" w:color="auto"/>
        </w:pBdr>
        <w:tabs>
          <w:tab w:val="left" w:pos="360"/>
        </w:tabs>
        <w:spacing w:after="120"/>
        <w:ind w:left="360" w:hanging="360"/>
        <w:jc w:val="both"/>
        <w:rPr>
          <w:b/>
          <w:sz w:val="22"/>
          <w:szCs w:val="22"/>
        </w:rPr>
      </w:pPr>
      <w:r w:rsidRPr="00BD2AD7">
        <w:rPr>
          <w:b/>
          <w:sz w:val="22"/>
          <w:szCs w:val="22"/>
        </w:rPr>
        <w:t>•</w:t>
      </w:r>
      <w:r w:rsidRPr="00BD2AD7">
        <w:rPr>
          <w:b/>
          <w:sz w:val="22"/>
          <w:szCs w:val="22"/>
        </w:rPr>
        <w:tab/>
      </w:r>
      <w:r>
        <w:rPr>
          <w:b/>
          <w:sz w:val="22"/>
          <w:szCs w:val="22"/>
        </w:rPr>
        <w:t>Numero iscritti dell’ultima edizione non inferiore a 10.</w:t>
      </w:r>
    </w:p>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both"/>
        <w:rPr>
          <w:sz w:val="22"/>
          <w:szCs w:val="22"/>
        </w:rPr>
      </w:pPr>
      <w:r w:rsidRPr="00BD2AD7">
        <w:rPr>
          <w:sz w:val="22"/>
          <w:szCs w:val="22"/>
        </w:rPr>
        <w:t>Il Nucleo ritiene che tali criteri debbano essere completamente soddisfatti per garantire la qualità della proposta.</w:t>
      </w:r>
    </w:p>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both"/>
        <w:rPr>
          <w:b/>
          <w:sz w:val="22"/>
          <w:szCs w:val="22"/>
        </w:rPr>
      </w:pPr>
      <w:r w:rsidRPr="00BD2AD7">
        <w:rPr>
          <w:sz w:val="22"/>
          <w:szCs w:val="22"/>
        </w:rPr>
        <w:t xml:space="preserve">In particolare, tra i criteri elencati, il Nucleo ritiene di fondamentale importanza che i docenti incaricati degli insegnamenti siano individuati già nella fase di pianificazione del corso, in quanto la competenza del corpo docente rappresenta l’aspetto maggiormente qualificante del corso di studi. Per valutare tale requisito, il Nucleo di Valutazione richiede di allegare alla domanda i </w:t>
      </w:r>
      <w:r w:rsidRPr="00BD2AD7">
        <w:rPr>
          <w:i/>
          <w:sz w:val="22"/>
          <w:szCs w:val="22"/>
        </w:rPr>
        <w:t>curricula</w:t>
      </w:r>
      <w:r w:rsidRPr="00BD2AD7">
        <w:rPr>
          <w:sz w:val="22"/>
          <w:szCs w:val="22"/>
        </w:rPr>
        <w:t xml:space="preserve"> del direttore del master e di tutti i docenti coinvolti nella didattica del corso (elenco delle pubblicazioni e/o degli incarichi professionali degli ultimi tre anni). </w:t>
      </w:r>
      <w:r w:rsidRPr="00BD2AD7">
        <w:rPr>
          <w:b/>
          <w:sz w:val="22"/>
          <w:szCs w:val="22"/>
        </w:rPr>
        <w:t>Tali curricula dovranno essere presentati in forma sintetica, focalizzando le informazioni sulle esperienze professionali inerenti le tematiche del master.</w:t>
      </w:r>
    </w:p>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both"/>
        <w:rPr>
          <w:sz w:val="22"/>
          <w:szCs w:val="22"/>
        </w:rPr>
      </w:pPr>
      <w:r w:rsidRPr="00BD2AD7">
        <w:rPr>
          <w:sz w:val="22"/>
          <w:szCs w:val="22"/>
        </w:rPr>
        <w:t xml:space="preserve">Inoltre, il Nucleo effettuerà una valutazione </w:t>
      </w:r>
      <w:r w:rsidRPr="00BD2AD7">
        <w:rPr>
          <w:i/>
          <w:sz w:val="22"/>
          <w:szCs w:val="22"/>
        </w:rPr>
        <w:t>in itinere</w:t>
      </w:r>
      <w:r w:rsidRPr="00BD2AD7">
        <w:rPr>
          <w:sz w:val="22"/>
          <w:szCs w:val="22"/>
        </w:rPr>
        <w:t xml:space="preserve"> dei master attivati per verificare la coerenza delle informazioni fornite in sede di proposta.</w:t>
      </w:r>
    </w:p>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both"/>
        <w:rPr>
          <w:b/>
          <w:sz w:val="22"/>
          <w:szCs w:val="22"/>
        </w:rPr>
      </w:pPr>
      <w:r w:rsidRPr="00BD2AD7">
        <w:rPr>
          <w:b/>
          <w:sz w:val="22"/>
          <w:szCs w:val="22"/>
        </w:rPr>
        <w:t>Le informazioni contenute nella scheda per la valutazione in itinere costituiscono elemento estremamente importante in sede di rinnovo, in quanto consentono di verificare il valore dell’iniziativa in termini di attrattività (trend degli iscritti) e di spendibilità del titolo (iniziat</w:t>
      </w:r>
      <w:r w:rsidR="00D80110">
        <w:rPr>
          <w:b/>
          <w:sz w:val="22"/>
          <w:szCs w:val="22"/>
        </w:rPr>
        <w:t>i</w:t>
      </w:r>
      <w:r w:rsidRPr="00BD2AD7">
        <w:rPr>
          <w:b/>
          <w:sz w:val="22"/>
          <w:szCs w:val="22"/>
        </w:rPr>
        <w:t xml:space="preserve">ve di </w:t>
      </w:r>
      <w:r w:rsidRPr="00D80110">
        <w:rPr>
          <w:b/>
          <w:i/>
          <w:sz w:val="22"/>
          <w:szCs w:val="22"/>
        </w:rPr>
        <w:t xml:space="preserve">job </w:t>
      </w:r>
      <w:proofErr w:type="spellStart"/>
      <w:r w:rsidRPr="00D80110">
        <w:rPr>
          <w:b/>
          <w:i/>
          <w:sz w:val="22"/>
          <w:szCs w:val="22"/>
        </w:rPr>
        <w:t>placement</w:t>
      </w:r>
      <w:proofErr w:type="spellEnd"/>
      <w:r w:rsidRPr="00BD2AD7">
        <w:rPr>
          <w:b/>
          <w:sz w:val="22"/>
          <w:szCs w:val="22"/>
        </w:rPr>
        <w:t xml:space="preserve"> e risultati in termini di inserimento lavorativo).</w:t>
      </w:r>
    </w:p>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both"/>
        <w:rPr>
          <w:b/>
          <w:sz w:val="22"/>
          <w:szCs w:val="22"/>
        </w:rPr>
      </w:pPr>
      <w:r w:rsidRPr="00BD2AD7">
        <w:rPr>
          <w:b/>
          <w:sz w:val="22"/>
          <w:szCs w:val="22"/>
        </w:rPr>
        <w:t>Pertanto in presenza di proposte di master con carenze di documentazione tali da non consentire di valutarne il merito, il Nucleo non può esprimere un giudizio positivo.</w:t>
      </w:r>
    </w:p>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both"/>
        <w:rPr>
          <w:sz w:val="22"/>
          <w:szCs w:val="22"/>
        </w:rPr>
      </w:pPr>
      <w:r w:rsidRPr="00BD2AD7">
        <w:rPr>
          <w:sz w:val="22"/>
          <w:szCs w:val="22"/>
        </w:rPr>
        <w:t xml:space="preserve">Il Nucleo di Valutazione ritiene che non sia opportuno attivare corsi di master al di sotto del numero di iscritti minimo previsto dal regolamento. In particolare, il Nucleo ritiene che a partire dall’edizione 2009/10, i corsi di master che abbiano registrato un numero di iscritti progressivamente decrescente o che abbiano mostrato evidenti difficoltà a raggiungere il numero minimo di iscritti nelle ultime edizioni, presentino domanda di nuova attivazione solo dopo aver riformulato la proposta dimostrando di aver analizzato, anche mediante consultazioni con </w:t>
      </w:r>
      <w:r w:rsidRPr="00BD2AD7">
        <w:rPr>
          <w:bCs/>
          <w:sz w:val="22"/>
          <w:szCs w:val="22"/>
        </w:rPr>
        <w:t xml:space="preserve">le organizzazioni rappresentative a livello locale della produzione, dei servizi e </w:t>
      </w:r>
      <w:r w:rsidRPr="001E3B89">
        <w:rPr>
          <w:bCs/>
          <w:sz w:val="22"/>
          <w:szCs w:val="22"/>
        </w:rPr>
        <w:t>delle professioni,</w:t>
      </w:r>
      <w:r w:rsidRPr="001E3B89">
        <w:rPr>
          <w:sz w:val="22"/>
          <w:szCs w:val="22"/>
        </w:rPr>
        <w:t xml:space="preserve"> le effettive esigenze formative presenti nel potenziale bacino di utenza, individuando anche gli opportuni interventi correttivi.</w:t>
      </w:r>
    </w:p>
    <w:p w:rsidR="00755FAF" w:rsidRPr="00BD2AD7" w:rsidRDefault="00755FAF" w:rsidP="00755FAF">
      <w:pPr>
        <w:pBdr>
          <w:top w:val="single" w:sz="4" w:space="0" w:color="auto"/>
          <w:left w:val="single" w:sz="4" w:space="0" w:color="auto"/>
          <w:bottom w:val="single" w:sz="4" w:space="1" w:color="auto"/>
          <w:right w:val="single" w:sz="4" w:space="4" w:color="auto"/>
        </w:pBdr>
        <w:spacing w:after="120"/>
        <w:jc w:val="both"/>
        <w:rPr>
          <w:b/>
          <w:sz w:val="22"/>
          <w:szCs w:val="22"/>
        </w:rPr>
      </w:pPr>
      <w:r w:rsidRPr="001E3B89">
        <w:rPr>
          <w:sz w:val="22"/>
          <w:szCs w:val="22"/>
        </w:rPr>
        <w:t>Infine, tenuto conto del disposto dell’art.1 del Regolamento di Ateneo per l’Istituzione/attivazione dei Master universitari, ai sensi del quale “(…) tutte le schede di proposta devono pervenire (…) entro e non oltre il 30 aprile</w:t>
      </w:r>
      <w:r w:rsidRPr="001E3B89">
        <w:rPr>
          <w:b/>
          <w:sz w:val="22"/>
          <w:szCs w:val="22"/>
        </w:rPr>
        <w:t>”, il Nucleo non intende derogare al regolamento riaprendo la sessione di valutazione per eventuali proposte che non fossero pervenute entro la scadenza fissata complete di tutti gli elementi essenziali per la valutazione</w:t>
      </w:r>
      <w:r w:rsidRPr="001E3B89">
        <w:rPr>
          <w:sz w:val="22"/>
          <w:szCs w:val="22"/>
        </w:rPr>
        <w:t xml:space="preserve"> e puntualmente elencati al succitato art.1. L’esame di eventuali proposte che dovessero pervenire alla Segreteria dei Master successivamente alla data della riunione del Nucleo andrà pertanto ricondotto nell’ambito della valutazione delle proposte per l’anno accademico successivo.</w:t>
      </w:r>
    </w:p>
    <w:p w:rsidR="00201305" w:rsidRDefault="00201305"/>
    <w:sectPr w:rsidR="00201305" w:rsidSect="008033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755FAF"/>
    <w:rsid w:val="00201305"/>
    <w:rsid w:val="00345836"/>
    <w:rsid w:val="003F4951"/>
    <w:rsid w:val="006E67DD"/>
    <w:rsid w:val="00755FAF"/>
    <w:rsid w:val="0080339E"/>
    <w:rsid w:val="00BB7F0D"/>
    <w:rsid w:val="00CE0DDD"/>
    <w:rsid w:val="00D13969"/>
    <w:rsid w:val="00D80110"/>
    <w:rsid w:val="00FF1B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FA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5409</dc:creator>
  <cp:keywords/>
  <dc:description/>
  <cp:lastModifiedBy>5409</cp:lastModifiedBy>
  <cp:revision>2</cp:revision>
  <cp:lastPrinted>2012-03-14T10:05:00Z</cp:lastPrinted>
  <dcterms:created xsi:type="dcterms:W3CDTF">2012-03-14T14:04:00Z</dcterms:created>
  <dcterms:modified xsi:type="dcterms:W3CDTF">2012-03-14T14:04:00Z</dcterms:modified>
</cp:coreProperties>
</file>